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7B0CE3" w14:textId="77777777" w:rsidR="000C16F0" w:rsidRDefault="00000000">
      <w:pPr>
        <w:jc w:val="center"/>
      </w:pPr>
      <w:r>
        <w:rPr>
          <w:b/>
          <w:sz w:val="32"/>
        </w:rPr>
        <w:t>First Biennial Transparency Report and Fourth National Communication (BTR1/NC4)</w:t>
      </w:r>
      <w:r>
        <w:rPr>
          <w:b/>
          <w:sz w:val="32"/>
        </w:rPr>
        <w:br/>
        <w:t>2025 Narrative Report (Draft)</w:t>
      </w:r>
    </w:p>
    <w:p w14:paraId="52AA4505" w14:textId="5D328390" w:rsidR="000C16F0" w:rsidRDefault="00000000">
      <w:pPr>
        <w:jc w:val="center"/>
      </w:pPr>
      <w:r>
        <w:t>Cook Islands Country Programme</w:t>
      </w:r>
      <w:r>
        <w:br/>
        <w:t>Reporting Period: January–December 2025</w:t>
      </w:r>
      <w:r>
        <w:br/>
      </w:r>
    </w:p>
    <w:p w14:paraId="6926A1A9" w14:textId="77777777" w:rsidR="000C16F0" w:rsidRDefault="00000000">
      <w:pPr>
        <w:pStyle w:val="Heading1"/>
      </w:pPr>
      <w:r>
        <w:t>Executive Summary</w:t>
      </w:r>
    </w:p>
    <w:p w14:paraId="0A14D03A" w14:textId="77777777" w:rsidR="000C16F0" w:rsidRDefault="00000000">
      <w:pPr>
        <w:spacing w:after="120"/>
      </w:pPr>
      <w:r>
        <w:t>During 2025, the Cook Islands BTR1/NC4 project made substantial progress toward the preparation of the country's First Biennial Transparency Report and Fourth National Communication. Across the year, the project advanced technical reporting products, strengthened stakeholder engagement, and supported knowledge management and outreach activities aligned with the approved annual workplan.</w:t>
      </w:r>
    </w:p>
    <w:p w14:paraId="5B84EFE6" w14:textId="77777777" w:rsidR="000C16F0" w:rsidRDefault="00000000">
      <w:pPr>
        <w:spacing w:after="120"/>
      </w:pPr>
      <w:r>
        <w:t>By the third quarter, the greenhouse gas inventory, mitigation chapter, and adaptation chapter had reached completion, with all major technical outputs progressing through review, editing, and finalization. The national circumstances chapter and other relevant information were also completed, while an NDC tracking chapter was drafted in the fourth quarter. In parallel, the project delivered learning-by-doing workshops and awareness-raising activities in both Rarotonga and the Pa Enua, including Mauke and youth-focused events. The project also supported regional transparency exchanges and provided targeted support to local non-government organizations implementing climate-related initiatives.</w:t>
      </w:r>
    </w:p>
    <w:p w14:paraId="15F4388D" w14:textId="77777777" w:rsidR="000C16F0" w:rsidRDefault="00000000">
      <w:pPr>
        <w:spacing w:after="120"/>
      </w:pPr>
      <w:r>
        <w:t>The year also highlighted several implementation constraints, notably delays in receipt of funds, repeated budget and annual workplan revisions, consultant performance issues for the adaptation chapter, and limited staff time for detailed technical review and financial management. Nevertheless, the Project Management Unit (PMU) implemented mitigating actions, including reallocating funds, engaging a new adaptation consultant, drawing temporarily on bridge financing, and seeking technical review support from partners. Overall, 2025 represented a strong implementation year that positioned the project for final compilation, endorsement, and submission activities in the subsequent period.</w:t>
      </w:r>
    </w:p>
    <w:p w14:paraId="552A4593" w14:textId="77777777" w:rsidR="000C16F0" w:rsidRDefault="00000000">
      <w:pPr>
        <w:pStyle w:val="Heading1"/>
      </w:pPr>
      <w:r>
        <w:t>Background</w:t>
      </w:r>
    </w:p>
    <w:p w14:paraId="51BBF5C3" w14:textId="77777777" w:rsidR="000C16F0" w:rsidRDefault="00000000">
      <w:pPr>
        <w:spacing w:after="120"/>
      </w:pPr>
      <w:r>
        <w:t>The BTR1/NC4 project supports the Cook Islands in preparing and submitting its First Biennial Transparency Report and Fourth National Communication in accordance with the Modalities, Procedures and Guidelines under the Paris Agreement and relevant UNFCCC reporting guidance. The project reporting period spans 2023–2026, while this narrative report summarizes progress achieved during calendar year 2025.</w:t>
      </w:r>
    </w:p>
    <w:p w14:paraId="32D0201E" w14:textId="77777777" w:rsidR="000C16F0" w:rsidRDefault="00000000">
      <w:pPr>
        <w:spacing w:after="120"/>
      </w:pPr>
      <w:r>
        <w:lastRenderedPageBreak/>
        <w:t>Implementation in 2025 followed the approved annual workplan and budget under two main components: (i) development of the BTR1/NC4 technical reports, and (ii) knowledge management, monitoring and evaluation. Progress was tracked through quarterly reports that captured technical milestones, stakeholder engagement, financial utilization, procurement, and project coordination activities.</w:t>
      </w:r>
    </w:p>
    <w:p w14:paraId="756CF669" w14:textId="77777777" w:rsidR="000C16F0" w:rsidRDefault="00000000">
      <w:pPr>
        <w:pStyle w:val="Heading1"/>
      </w:pPr>
      <w:r>
        <w:t>Key Results Achieved</w:t>
      </w:r>
    </w:p>
    <w:p w14:paraId="70362057" w14:textId="77777777" w:rsidR="000C16F0" w:rsidRDefault="00000000">
      <w:pPr>
        <w:spacing w:after="120"/>
      </w:pPr>
      <w:r>
        <w:t>The principal results achieved during 2025 are summarized below.</w:t>
      </w:r>
    </w:p>
    <w:p w14:paraId="67838FBB" w14:textId="77777777" w:rsidR="000C16F0" w:rsidRDefault="00000000">
      <w:pPr>
        <w:pStyle w:val="Heading2"/>
      </w:pPr>
      <w:r>
        <w:t>1. Progress on core technical reporting products</w:t>
      </w:r>
    </w:p>
    <w:p w14:paraId="3D2DE8F4" w14:textId="77777777" w:rsidR="000C16F0" w:rsidRDefault="00000000">
      <w:pPr>
        <w:pStyle w:val="ListBullet"/>
        <w:spacing w:after="0"/>
      </w:pPr>
      <w:r>
        <w:t>Greenhouse Gas (GHG) Inventory: The national inventory progressed from approximately 80% completion in Q1 to full completion by Q2/Q3. By year-end, the report was undergoing review, editing, and preparation for finalization.</w:t>
      </w:r>
    </w:p>
    <w:p w14:paraId="254EA153" w14:textId="77777777" w:rsidR="000C16F0" w:rsidRDefault="00000000">
      <w:pPr>
        <w:pStyle w:val="ListBullet"/>
        <w:spacing w:after="0"/>
      </w:pPr>
      <w:r>
        <w:t>Mitigation / NDC Tracking: The mitigation chapter progressed from about 80% completion in Q1 to 90% in Q2 and 100% by Q3. In Q4, mitigation content was incorporated into a draft NDC tracking chapter.</w:t>
      </w:r>
    </w:p>
    <w:p w14:paraId="548FA7F8" w14:textId="77777777" w:rsidR="000C16F0" w:rsidRDefault="00000000">
      <w:pPr>
        <w:pStyle w:val="ListBullet"/>
        <w:spacing w:after="0"/>
      </w:pPr>
      <w:r>
        <w:t>Vulnerability and Adaptation Assessment: The adaptation report progressed from 75% completion in Q1 to 90% in Q2 and 100% in Q3. During Q4, the report remained under review and finalization after additional work with a new consultant.</w:t>
      </w:r>
    </w:p>
    <w:p w14:paraId="262BC57D" w14:textId="77777777" w:rsidR="000C16F0" w:rsidRDefault="00000000">
      <w:pPr>
        <w:pStyle w:val="ListBullet"/>
        <w:spacing w:after="0"/>
      </w:pPr>
      <w:r>
        <w:t>National Circumstances and Other Relevant Information: During Q2, the climate specialist submitted a first draft of the national circumstances chapter. By Q3, the national circumstances report and the report on other relevant information were completed and were being prepared for final review and consolidation.</w:t>
      </w:r>
    </w:p>
    <w:p w14:paraId="78441191" w14:textId="77777777" w:rsidR="000C16F0" w:rsidRDefault="00000000">
      <w:pPr>
        <w:pStyle w:val="ListBullet"/>
        <w:spacing w:after="0"/>
      </w:pPr>
      <w:r>
        <w:t>External Technical Review: In Q4, all reports were sent to CBIT-GSP for review, after which consultants were expected to incorporate comments to support final compilation of the BTR1/NC4 report.</w:t>
      </w:r>
    </w:p>
    <w:p w14:paraId="6662DA9D" w14:textId="77777777" w:rsidR="000C16F0" w:rsidRDefault="00000000">
      <w:pPr>
        <w:pStyle w:val="Heading2"/>
      </w:pPr>
      <w:r>
        <w:t>2. Capacity building, stakeholder engagement, and learning-by-doing workshops</w:t>
      </w:r>
    </w:p>
    <w:p w14:paraId="7969AB73" w14:textId="77777777" w:rsidR="000C16F0" w:rsidRDefault="00000000">
      <w:pPr>
        <w:pStyle w:val="ListBullet"/>
        <w:spacing w:after="0"/>
      </w:pPr>
      <w:r>
        <w:t>A hands-on BTR1/NC4 workshop was delivered in Mauke in March 2025, combining training on the Enhanced Transparency Framework (ETF), adaptation, and GHG reporting with site visits and local consultations.</w:t>
      </w:r>
    </w:p>
    <w:p w14:paraId="65E342A0" w14:textId="77777777" w:rsidR="000C16F0" w:rsidRDefault="00000000">
      <w:pPr>
        <w:pStyle w:val="ListBullet"/>
        <w:spacing w:after="0"/>
      </w:pPr>
      <w:r>
        <w:t>The project supported a regional ETF workshop held in-country in March 2025 with participants from Samoa, Tonga, Tuvalu, Solomon Islands, and local government agencies. The project contributed venue costs and awareness materials for the event.</w:t>
      </w:r>
    </w:p>
    <w:p w14:paraId="5A7FEB09" w14:textId="77777777" w:rsidR="000C16F0" w:rsidRDefault="00000000">
      <w:pPr>
        <w:pStyle w:val="ListBullet"/>
        <w:spacing w:after="0"/>
      </w:pPr>
      <w:r>
        <w:t>Additional awareness and engagement events during the year included online and in-person BTR capacity-building workshops in April, the Climate Change Cook Islands Platform event in June, the Mangaia Careers Expo, a GHG presentation to the Climate Change Cook Islands office in July, and proposal-writing related activities for youth and communities.</w:t>
      </w:r>
    </w:p>
    <w:p w14:paraId="78689C39" w14:textId="77777777" w:rsidR="000C16F0" w:rsidRDefault="00000000">
      <w:pPr>
        <w:pStyle w:val="ListBullet"/>
        <w:spacing w:after="0"/>
      </w:pPr>
      <w:r>
        <w:t>A Northern Group school proposal writing workshop was supported in July, strengthening community-level climate action planning among students.</w:t>
      </w:r>
    </w:p>
    <w:p w14:paraId="603E1C62" w14:textId="77777777" w:rsidR="000C16F0" w:rsidRDefault="00000000">
      <w:pPr>
        <w:pStyle w:val="ListBullet"/>
        <w:spacing w:after="0"/>
      </w:pPr>
      <w:r>
        <w:lastRenderedPageBreak/>
        <w:t>A proposal writing workshop in Mauke was successfully delivered from 20–24 October 2025, and preparations started for similar workshops in the Northern Group and remaining Southern Group islands.</w:t>
      </w:r>
    </w:p>
    <w:p w14:paraId="49D3C82C" w14:textId="77777777" w:rsidR="000C16F0" w:rsidRDefault="00000000">
      <w:pPr>
        <w:pStyle w:val="Heading2"/>
      </w:pPr>
      <w:r>
        <w:t>3. Knowledge management, awareness raising, and gender mainstreaming</w:t>
      </w:r>
    </w:p>
    <w:p w14:paraId="5CB32164" w14:textId="77777777" w:rsidR="000C16F0" w:rsidRDefault="00000000">
      <w:pPr>
        <w:pStyle w:val="ListBullet"/>
        <w:spacing w:after="0"/>
      </w:pPr>
      <w:r>
        <w:t>Awareness-raising materials were procured and disseminated throughout the year, including stickers, shirts, pamphlets, bags, banners, and other promotional materials used at workshops, expos, and outreach events.</w:t>
      </w:r>
    </w:p>
    <w:p w14:paraId="5F14D843" w14:textId="77777777" w:rsidR="000C16F0" w:rsidRDefault="00000000">
      <w:pPr>
        <w:pStyle w:val="ListBullet"/>
        <w:spacing w:after="0"/>
      </w:pPr>
      <w:r>
        <w:t>Indicator 8 (awareness products) was reported as fully completed during 2025, reflecting achievement of the target for a minimum of five awareness products developed and disseminated.</w:t>
      </w:r>
    </w:p>
    <w:p w14:paraId="3DB96180" w14:textId="77777777" w:rsidR="000C16F0" w:rsidRDefault="00000000">
      <w:pPr>
        <w:pStyle w:val="ListBullet"/>
        <w:spacing w:after="0"/>
      </w:pPr>
      <w:r>
        <w:t>The Gender Climate Action Plan was completed, and gender analysis requirements under the project were reported as achieved. Gender considerations were intended to continue being mainstreamed throughout reporting and project activities.</w:t>
      </w:r>
    </w:p>
    <w:p w14:paraId="0BDE3934" w14:textId="77777777" w:rsidR="000C16F0" w:rsidRDefault="00000000">
      <w:pPr>
        <w:pStyle w:val="ListBullet"/>
        <w:spacing w:after="0"/>
      </w:pPr>
      <w:r>
        <w:t>IT equipment and office support items were procured in Q2 to strengthen delivery of project outputs and future platform events.</w:t>
      </w:r>
    </w:p>
    <w:p w14:paraId="6745413A" w14:textId="77777777" w:rsidR="000C16F0" w:rsidRDefault="00000000">
      <w:pPr>
        <w:pStyle w:val="Heading2"/>
      </w:pPr>
      <w:r>
        <w:t>4. Project coordination and partnership support</w:t>
      </w:r>
    </w:p>
    <w:p w14:paraId="66E436E5" w14:textId="77777777" w:rsidR="000C16F0" w:rsidRDefault="00000000">
      <w:pPr>
        <w:pStyle w:val="ListBullet"/>
        <w:spacing w:after="0"/>
      </w:pPr>
      <w:r>
        <w:t>The PMU maintained regular coordination with UNDP on budget management, workplan revisions, and implementation issues.</w:t>
      </w:r>
    </w:p>
    <w:p w14:paraId="5C1ACD73" w14:textId="77777777" w:rsidR="000C16F0" w:rsidRDefault="00000000">
      <w:pPr>
        <w:pStyle w:val="ListBullet"/>
        <w:spacing w:after="0"/>
      </w:pPr>
      <w:r>
        <w:t>The project underwent a HACT spot check by KPMG in March 2025, with the final report under UNDP review at that time.</w:t>
      </w:r>
    </w:p>
    <w:p w14:paraId="0B48A1F4" w14:textId="77777777" w:rsidR="000C16F0" w:rsidRDefault="00000000">
      <w:pPr>
        <w:pStyle w:val="ListBullet"/>
        <w:spacing w:after="0"/>
      </w:pPr>
      <w:r>
        <w:t>In Q4, the project provided support to five local NGOs—Cook Islands National Council of Women (CINCW), Kumiti Au Vaine (KAV), Korero o te Orau (KO), Muri Environment Care (MEC), and Te Ipukarea Society (TIS)—through equipment, materials, printing, t-shirts, video support, vehicle hire, and other inputs for climate-related activities.</w:t>
      </w:r>
    </w:p>
    <w:p w14:paraId="7C79B3B3" w14:textId="77777777" w:rsidR="000C16F0" w:rsidRDefault="00000000">
      <w:pPr>
        <w:pStyle w:val="Heading2"/>
      </w:pPr>
      <w:r>
        <w:t>5. Financial progress</w:t>
      </w:r>
    </w:p>
    <w:p w14:paraId="63EFE4B8" w14:textId="77777777" w:rsidR="000C16F0" w:rsidRDefault="00000000">
      <w:pPr>
        <w:spacing w:after="120"/>
      </w:pPr>
      <w:r>
        <w:t>Based on the quarterly progress reports, project utilization reached NZD 60,696.84 in Q1 and NZD 67,806.29 in Q2. Q3 and Q4 financial summary tables in the source progress report were not yet completed at the time of reporting, so a full-year financial total could not be confirmed from the documents provided.</w:t>
      </w:r>
    </w:p>
    <w:p w14:paraId="05264914" w14:textId="77777777" w:rsidR="000C16F0" w:rsidRDefault="00000000">
      <w:pPr>
        <w:pStyle w:val="ListBullet"/>
        <w:spacing w:after="0"/>
      </w:pPr>
      <w:r>
        <w:t>Q1 actual expenditure: NZD 60,696.84 against a planned commitment of NZD 66,582.17.</w:t>
      </w:r>
    </w:p>
    <w:p w14:paraId="28CE3CC3" w14:textId="77777777" w:rsidR="000C16F0" w:rsidRDefault="00000000">
      <w:pPr>
        <w:pStyle w:val="ListBullet"/>
        <w:spacing w:after="0"/>
      </w:pPr>
      <w:r>
        <w:t>Q2 actual expenditure: NZD 67,806.29 against a revised/planned commitment of NZD 102,927.68.</w:t>
      </w:r>
    </w:p>
    <w:p w14:paraId="0AFDDD09" w14:textId="77777777" w:rsidR="000C16F0" w:rsidRDefault="00000000">
      <w:pPr>
        <w:pStyle w:val="ListBullet"/>
        <w:spacing w:after="0"/>
      </w:pPr>
      <w:r>
        <w:t>Q2 funding was delayed; the PMU temporarily used OPM Aid funds to cover April–June costs before reimbursement after project funds were received on 12 June 2025.</w:t>
      </w:r>
    </w:p>
    <w:p w14:paraId="48154DBA" w14:textId="77777777" w:rsidR="000C16F0" w:rsidRDefault="00000000">
      <w:pPr>
        <w:pStyle w:val="ListBullet"/>
        <w:spacing w:after="0"/>
      </w:pPr>
      <w:r>
        <w:t>A budget revision was undertaken in Q2 to incorporate remaining funds from 2024 into the 2025 budget.</w:t>
      </w:r>
    </w:p>
    <w:p w14:paraId="7453BFE5" w14:textId="77777777" w:rsidR="000C16F0" w:rsidRDefault="00000000">
      <w:pPr>
        <w:pStyle w:val="Heading1"/>
      </w:pPr>
      <w:r>
        <w:lastRenderedPageBreak/>
        <w:t>Key Challenges Encountered</w:t>
      </w:r>
    </w:p>
    <w:p w14:paraId="4BF5A08A" w14:textId="77777777" w:rsidR="000C16F0" w:rsidRDefault="00000000">
      <w:pPr>
        <w:spacing w:after="120"/>
      </w:pPr>
      <w:r>
        <w:t>Several implementation challenges affected delivery during 2025.</w:t>
      </w:r>
    </w:p>
    <w:p w14:paraId="291C9AC9" w14:textId="77777777" w:rsidR="000C16F0" w:rsidRDefault="00000000">
      <w:pPr>
        <w:pStyle w:val="ListBullet"/>
        <w:spacing w:after="0"/>
      </w:pPr>
      <w:r>
        <w:t>Funding delays: Delays in receiving quarterly funds affected implementation timelines and limited the project’s ability to expend resources as planned.</w:t>
      </w:r>
    </w:p>
    <w:p w14:paraId="496AE3E4" w14:textId="77777777" w:rsidR="000C16F0" w:rsidRDefault="00000000">
      <w:pPr>
        <w:pStyle w:val="ListBullet"/>
        <w:spacing w:after="0"/>
      </w:pPr>
      <w:r>
        <w:t>High administrative and financial workload: Additional staff time and overtime were required to manage financial processes, reporting, and compliance requirements.</w:t>
      </w:r>
    </w:p>
    <w:p w14:paraId="24B5779F" w14:textId="77777777" w:rsidR="000C16F0" w:rsidRDefault="00000000">
      <w:pPr>
        <w:pStyle w:val="ListBullet"/>
        <w:spacing w:after="0"/>
      </w:pPr>
      <w:r>
        <w:t>Annual Workplan and budget revisions: The project required continuous revisions to the annual workplan and budget to account for carry-over funds, revised consultant inputs, and changing delivery needs.</w:t>
      </w:r>
    </w:p>
    <w:p w14:paraId="60BAE7C6" w14:textId="77777777" w:rsidR="000C16F0" w:rsidRDefault="00000000">
      <w:pPr>
        <w:pStyle w:val="ListBullet"/>
        <w:spacing w:after="0"/>
      </w:pPr>
      <w:r>
        <w:t>Consultant performance and delays: Delays in consultant outputs affected progress, particularly for the adaptation chapter. In one case, the deliverable period was extended and payment held; later, a new consultant was engaged to complete the adaptation work.</w:t>
      </w:r>
    </w:p>
    <w:p w14:paraId="7D5A8F09" w14:textId="77777777" w:rsidR="000C16F0" w:rsidRDefault="00000000">
      <w:pPr>
        <w:pStyle w:val="ListBullet"/>
        <w:spacing w:after="0"/>
      </w:pPr>
      <w:r>
        <w:t>Review bottlenecks: The PMU faced constraints in reviewing and editing technically complex reports while managing other responsibilities, which slowed finalization.</w:t>
      </w:r>
    </w:p>
    <w:p w14:paraId="162E52FE" w14:textId="77777777" w:rsidR="000C16F0" w:rsidRDefault="00000000">
      <w:pPr>
        <w:pStyle w:val="Heading1"/>
      </w:pPr>
      <w:r>
        <w:t>Project Risks and Issues</w:t>
      </w:r>
    </w:p>
    <w:p w14:paraId="0A32A488" w14:textId="77777777" w:rsidR="000C16F0" w:rsidRDefault="00000000">
      <w:pPr>
        <w:spacing w:after="120"/>
      </w:pPr>
      <w:r>
        <w:t>The main project risks and management responses recorded during 2025 included the following:</w:t>
      </w:r>
    </w:p>
    <w:p w14:paraId="53DEA91B" w14:textId="77777777" w:rsidR="000C16F0" w:rsidRDefault="00000000">
      <w:pPr>
        <w:pStyle w:val="ListBullet"/>
        <w:spacing w:after="0"/>
      </w:pPr>
      <w:r>
        <w:t>Risk of implementation slippage due to late disbursement of funds. Response: request and liquidate funds as early as possible, revise workplans promptly, and use interim financing when necessary.</w:t>
      </w:r>
    </w:p>
    <w:p w14:paraId="200A5763" w14:textId="77777777" w:rsidR="000C16F0" w:rsidRDefault="00000000">
      <w:pPr>
        <w:pStyle w:val="ListBullet"/>
        <w:spacing w:after="0"/>
      </w:pPr>
      <w:r>
        <w:t>Risk of under-utilization or misalignment of budget due to leftover funds and revised consultant costs. Response: reallocate remaining budget to priority ongoing activities and revise the annual workplan in consultation with UNDP.</w:t>
      </w:r>
    </w:p>
    <w:p w14:paraId="47C73DFE" w14:textId="77777777" w:rsidR="000C16F0" w:rsidRDefault="00000000">
      <w:pPr>
        <w:pStyle w:val="ListBullet"/>
        <w:spacing w:after="0"/>
      </w:pPr>
      <w:r>
        <w:t>Risk to quality and timeliness of technical outputs due to consultant delays or incomplete work. Response: extend timelines where justified, hold payment pending satisfactory progress, and engage replacement technical support where necessary.</w:t>
      </w:r>
    </w:p>
    <w:p w14:paraId="41A2089F" w14:textId="77777777" w:rsidR="000C16F0" w:rsidRDefault="00000000">
      <w:pPr>
        <w:pStyle w:val="ListBullet"/>
        <w:spacing w:after="0"/>
      </w:pPr>
      <w:r>
        <w:t>Risk of delayed finalization due to limited review capacity. Response: plan for external technical review support through CBIT-GSP and an editor for the final BTR1/NC4 report.</w:t>
      </w:r>
    </w:p>
    <w:p w14:paraId="0031A351" w14:textId="77777777" w:rsidR="000C16F0" w:rsidRDefault="00000000">
      <w:pPr>
        <w:pStyle w:val="Heading1"/>
      </w:pPr>
      <w:r>
        <w:t>Lessons Learned</w:t>
      </w:r>
    </w:p>
    <w:p w14:paraId="0B530EF4" w14:textId="77777777" w:rsidR="000C16F0" w:rsidRDefault="00000000">
      <w:pPr>
        <w:spacing w:after="120"/>
      </w:pPr>
      <w:r>
        <w:t>Several lessons emerging from 2025 can inform implementation during the remaining project period and future climate reporting initiatives.</w:t>
      </w:r>
    </w:p>
    <w:p w14:paraId="0C7166C9" w14:textId="77777777" w:rsidR="000C16F0" w:rsidRDefault="00000000">
      <w:pPr>
        <w:pStyle w:val="ListBullet"/>
        <w:spacing w:after="0"/>
      </w:pPr>
      <w:r>
        <w:t>Early and proactive financial planning is essential. Funding delays can significantly disrupt implementation, particularly in small project teams. Advance liquidation and early fund requests should remain a priority.</w:t>
      </w:r>
    </w:p>
    <w:p w14:paraId="7580DB17" w14:textId="77777777" w:rsidR="000C16F0" w:rsidRDefault="00000000">
      <w:pPr>
        <w:pStyle w:val="ListBullet"/>
        <w:spacing w:after="0"/>
      </w:pPr>
      <w:r>
        <w:t xml:space="preserve">Dedicated administrative support would improve efficiency. The quarterly reports repeatedly highlighted the heavy burden placed on the PMU for finance, </w:t>
      </w:r>
      <w:r>
        <w:lastRenderedPageBreak/>
        <w:t>procurement, technical coordination, and reporting. Future projects would benefit from at least part-time administrative support.</w:t>
      </w:r>
    </w:p>
    <w:p w14:paraId="6B61E722" w14:textId="77777777" w:rsidR="000C16F0" w:rsidRDefault="00000000">
      <w:pPr>
        <w:pStyle w:val="ListBullet"/>
        <w:spacing w:after="0"/>
      </w:pPr>
      <w:r>
        <w:t>Technical review should be built into timelines from the outset. High-quality climate reporting products require adequate time for review, editing, and iteration with consultants and technical partners.</w:t>
      </w:r>
    </w:p>
    <w:p w14:paraId="25ECFE50" w14:textId="77777777" w:rsidR="000C16F0" w:rsidRDefault="00000000">
      <w:pPr>
        <w:pStyle w:val="ListBullet"/>
        <w:spacing w:after="0"/>
      </w:pPr>
      <w:r>
        <w:t>Pa Enua and youth-focused workshops generate strong engagement. Activities in Mauke, Mangaia, and the Northern Group demonstrated the value of hands-on, community-based approaches that combine awareness, capacity building, and practical proposal development.</w:t>
      </w:r>
    </w:p>
    <w:p w14:paraId="0FE4F964" w14:textId="77777777" w:rsidR="000C16F0" w:rsidRDefault="00000000">
      <w:pPr>
        <w:pStyle w:val="ListBullet"/>
        <w:spacing w:after="0"/>
      </w:pPr>
      <w:r>
        <w:t>Partnerships broaden impact. Collaboration with UNDP, CBIT-GSP, regional partners, and local NGOs enabled the project to extend benefits beyond the core reporting outputs and support wider climate action.</w:t>
      </w:r>
    </w:p>
    <w:p w14:paraId="5E4018E4" w14:textId="77777777" w:rsidR="000C16F0" w:rsidRDefault="00000000">
      <w:pPr>
        <w:pStyle w:val="Heading1"/>
      </w:pPr>
      <w:r>
        <w:t>Conclusions and Way Forward</w:t>
      </w:r>
    </w:p>
    <w:p w14:paraId="5C07B912" w14:textId="77777777" w:rsidR="000C16F0" w:rsidRDefault="00000000">
      <w:pPr>
        <w:spacing w:after="120"/>
      </w:pPr>
      <w:r>
        <w:t>Overall, the 2025 implementation period was productive and results-oriented. By the end of the year, the project had largely completed the key technical reports required for the BTR1/NC4 package, delivered multiple capacity-building and awareness activities, and strengthened coordination with national, regional, and local stakeholders. Despite operational challenges, the PMU maintained momentum and adapted implementation to changing circumstances.</w:t>
      </w:r>
    </w:p>
    <w:p w14:paraId="2F53C400" w14:textId="77777777" w:rsidR="000C16F0" w:rsidRDefault="00000000">
      <w:pPr>
        <w:spacing w:after="120"/>
      </w:pPr>
      <w:r>
        <w:t>The way forward should focus on the following priorities:</w:t>
      </w:r>
    </w:p>
    <w:p w14:paraId="3B931362" w14:textId="77777777" w:rsidR="000C16F0" w:rsidRDefault="00000000">
      <w:pPr>
        <w:pStyle w:val="ListBullet"/>
        <w:spacing w:after="0"/>
      </w:pPr>
      <w:r>
        <w:t>Finalize the review and editing of all technical chapters, including the GHG inventory, adaptation, mitigation/NDC tracking, national circumstances, and other relevant information.</w:t>
      </w:r>
    </w:p>
    <w:p w14:paraId="145B7936" w14:textId="77777777" w:rsidR="000C16F0" w:rsidRDefault="00000000">
      <w:pPr>
        <w:pStyle w:val="ListBullet"/>
        <w:spacing w:after="0"/>
      </w:pPr>
      <w:r>
        <w:t>Compile the complete BTR1/NC4 report and secure editorial support for final formatting and quality assurance.</w:t>
      </w:r>
    </w:p>
    <w:p w14:paraId="1445C198" w14:textId="77777777" w:rsidR="000C16F0" w:rsidRDefault="00000000">
      <w:pPr>
        <w:pStyle w:val="ListBullet"/>
        <w:spacing w:after="0"/>
      </w:pPr>
      <w:r>
        <w:t>Complete remaining monitoring and evaluation outputs, including pending survey/reporting requirements and the end-of-project reporting products.</w:t>
      </w:r>
    </w:p>
    <w:p w14:paraId="5320A7CE" w14:textId="77777777" w:rsidR="000C16F0" w:rsidRDefault="00000000">
      <w:pPr>
        <w:pStyle w:val="ListBullet"/>
        <w:spacing w:after="0"/>
      </w:pPr>
      <w:r>
        <w:t>Continue planned proposal writing and capacity-building workshops in the outer islands, especially the Northern Group and remaining Southern Group islands.</w:t>
      </w:r>
    </w:p>
    <w:p w14:paraId="26D25D88" w14:textId="77777777" w:rsidR="000C16F0" w:rsidRDefault="00000000">
      <w:pPr>
        <w:pStyle w:val="ListBullet"/>
        <w:spacing w:after="0"/>
      </w:pPr>
      <w:r>
        <w:t>Sustain collaboration with NGOs and stakeholders to strengthen national ownership and uptake of climate knowledge, awareness products, and reporting outcomes.</w:t>
      </w:r>
    </w:p>
    <w:p w14:paraId="6F5B001F" w14:textId="77777777" w:rsidR="000C16F0" w:rsidRDefault="00000000">
      <w:pPr>
        <w:pStyle w:val="ListBullet"/>
        <w:spacing w:after="0"/>
      </w:pPr>
      <w:r>
        <w:t>Ensure that pending financial reporting for Q3 and Q4 is finalized and reflected in the consolidated annual and end-of-project reporting.</w:t>
      </w:r>
    </w:p>
    <w:p w14:paraId="11209DAD" w14:textId="77777777" w:rsidR="000C16F0" w:rsidRDefault="00000000">
      <w:pPr>
        <w:pStyle w:val="Heading1"/>
      </w:pPr>
      <w:r>
        <w:t>Other Reporting Requirements</w:t>
      </w:r>
    </w:p>
    <w:p w14:paraId="2B4DA56E" w14:textId="77777777" w:rsidR="000C16F0" w:rsidRDefault="00000000">
      <w:pPr>
        <w:pStyle w:val="ListBullet"/>
        <w:spacing w:after="0"/>
      </w:pPr>
      <w:r>
        <w:t>Monitoring and evaluation progress: By Q4, Indicator 10 recorded 4 out of 5 M&amp;E reports completed, indicating that one reporting product remained outstanding at year-end.</w:t>
      </w:r>
    </w:p>
    <w:p w14:paraId="5CD02D8C" w14:textId="77777777" w:rsidR="000C16F0" w:rsidRDefault="00000000">
      <w:pPr>
        <w:pStyle w:val="ListBullet"/>
        <w:spacing w:after="0"/>
      </w:pPr>
      <w:r>
        <w:lastRenderedPageBreak/>
        <w:t>Procurement status: Several items remained pending across the year, including editorial support, travel to outer islands, additional awareness materials, IT equipment, office supplies, and M&amp;E consultancy inputs.</w:t>
      </w:r>
    </w:p>
    <w:p w14:paraId="397043BA" w14:textId="77777777" w:rsidR="000C16F0" w:rsidRDefault="00000000">
      <w:pPr>
        <w:pStyle w:val="ListBullet"/>
        <w:spacing w:after="0"/>
      </w:pPr>
      <w:r>
        <w:t>Audit/compliance: A HACT spot check was conducted in March 2025, supporting project assurance and financial compliance processes.</w:t>
      </w:r>
    </w:p>
    <w:p w14:paraId="22E317AE" w14:textId="77777777" w:rsidR="000C16F0" w:rsidRDefault="00000000">
      <w:pPr>
        <w:pStyle w:val="ListBullet"/>
        <w:spacing w:after="0"/>
      </w:pPr>
      <w:r>
        <w:t>Data limitation note: The source progress report did not include finalized Q3 and Q4 expenditure tables or a completed Q3/Q4 issues matrix. Sections of this narrative relating to year-end expenditure and late-year challenges should therefore be considered draft and subject to confirmation once finalized source data are available.</w:t>
      </w:r>
    </w:p>
    <w:p w14:paraId="7D103145" w14:textId="77777777" w:rsidR="000C16F0" w:rsidRDefault="00000000">
      <w:pPr>
        <w:pStyle w:val="Heading1"/>
      </w:pPr>
      <w:r>
        <w:t>Annex: Key Activities by Quarter</w:t>
      </w:r>
    </w:p>
    <w:p w14:paraId="713F13B5" w14:textId="77777777" w:rsidR="000C16F0" w:rsidRDefault="00000000">
      <w:pPr>
        <w:pStyle w:val="Heading2"/>
      </w:pPr>
      <w:r>
        <w:t>Q1 (January–March 2025)</w:t>
      </w:r>
    </w:p>
    <w:p w14:paraId="1BE3F979" w14:textId="77777777" w:rsidR="000C16F0" w:rsidRDefault="00000000">
      <w:pPr>
        <w:pStyle w:val="ListBullet"/>
        <w:spacing w:after="0"/>
      </w:pPr>
      <w:r>
        <w:t>FMIS training with MFEM; PSIDS post-COP29 analysis workshop; Climate Specialist contracted.</w:t>
      </w:r>
    </w:p>
    <w:p w14:paraId="13E64E08" w14:textId="77777777" w:rsidR="000C16F0" w:rsidRDefault="00000000">
      <w:pPr>
        <w:pStyle w:val="ListBullet"/>
        <w:spacing w:after="0"/>
      </w:pPr>
      <w:r>
        <w:t>Mauke workshop delivered; HACT spot check by KPMG; regional ETF workshop supported.</w:t>
      </w:r>
    </w:p>
    <w:p w14:paraId="054C4FCB" w14:textId="77777777" w:rsidR="000C16F0" w:rsidRDefault="00000000">
      <w:pPr>
        <w:pStyle w:val="ListBullet"/>
        <w:spacing w:after="0"/>
      </w:pPr>
      <w:r>
        <w:t>GHG and mitigation chapters reached approximately 80%; adaptation report submitted for review.</w:t>
      </w:r>
    </w:p>
    <w:p w14:paraId="5B9DCBC7" w14:textId="77777777" w:rsidR="000C16F0" w:rsidRDefault="00000000">
      <w:pPr>
        <w:pStyle w:val="Heading2"/>
      </w:pPr>
      <w:r>
        <w:t>Q2 (April–June 2025)</w:t>
      </w:r>
    </w:p>
    <w:p w14:paraId="4F9F7180" w14:textId="77777777" w:rsidR="000C16F0" w:rsidRDefault="00000000">
      <w:pPr>
        <w:pStyle w:val="ListBullet"/>
        <w:spacing w:after="0"/>
      </w:pPr>
      <w:r>
        <w:t>BTR capacity-building workshops; Climate Change Cook Islands Platform event; participation in Bonn subsidiary body meetings; Mangaia Careers Expo support.</w:t>
      </w:r>
    </w:p>
    <w:p w14:paraId="32D21E08" w14:textId="77777777" w:rsidR="000C16F0" w:rsidRDefault="00000000">
      <w:pPr>
        <w:pStyle w:val="ListBullet"/>
        <w:spacing w:after="0"/>
      </w:pPr>
      <w:r>
        <w:t>GHG inventory completed and under review; mitigation draft submitted; new adaptation consultant engaged; national circumstances first draft submitted.</w:t>
      </w:r>
    </w:p>
    <w:p w14:paraId="41D6ED47" w14:textId="77777777" w:rsidR="000C16F0" w:rsidRDefault="00000000">
      <w:pPr>
        <w:pStyle w:val="ListBullet"/>
        <w:spacing w:after="0"/>
      </w:pPr>
      <w:r>
        <w:t>Budget revision completed; delayed Q2 funds received in June.</w:t>
      </w:r>
    </w:p>
    <w:p w14:paraId="6D59847F" w14:textId="77777777" w:rsidR="000C16F0" w:rsidRDefault="00000000">
      <w:pPr>
        <w:pStyle w:val="Heading2"/>
      </w:pPr>
      <w:r>
        <w:t>Q3 (July–September 2025)</w:t>
      </w:r>
    </w:p>
    <w:p w14:paraId="1E3CF5D3" w14:textId="77777777" w:rsidR="000C16F0" w:rsidRDefault="00000000">
      <w:pPr>
        <w:pStyle w:val="ListBullet"/>
        <w:spacing w:after="0"/>
      </w:pPr>
      <w:r>
        <w:t>GHG findings presented to CCCI; Northern Group students proposal writing workshop supported; participation in Global Transparency Forum in South Korea.</w:t>
      </w:r>
    </w:p>
    <w:p w14:paraId="23AF5288" w14:textId="77777777" w:rsidR="000C16F0" w:rsidRDefault="00000000">
      <w:pPr>
        <w:pStyle w:val="ListBullet"/>
        <w:spacing w:after="0"/>
      </w:pPr>
      <w:r>
        <w:t>Mitigation, adaptation, national circumstances and other relevant information chapters completed and/or advanced to final review.</w:t>
      </w:r>
    </w:p>
    <w:p w14:paraId="17FDEBB3" w14:textId="77777777" w:rsidR="000C16F0" w:rsidRDefault="00000000">
      <w:pPr>
        <w:pStyle w:val="ListBullet"/>
        <w:spacing w:after="0"/>
      </w:pPr>
      <w:r>
        <w:t>Preparations commenced for Mauke proposal writing workshop.</w:t>
      </w:r>
    </w:p>
    <w:p w14:paraId="0347DFAA" w14:textId="77777777" w:rsidR="000C16F0" w:rsidRDefault="00000000">
      <w:pPr>
        <w:pStyle w:val="Heading2"/>
      </w:pPr>
      <w:r>
        <w:t>Q4 (October–December 2025)</w:t>
      </w:r>
    </w:p>
    <w:p w14:paraId="775C219F" w14:textId="77777777" w:rsidR="000C16F0" w:rsidRDefault="00000000">
      <w:pPr>
        <w:pStyle w:val="ListBullet"/>
        <w:spacing w:after="0"/>
      </w:pPr>
      <w:r>
        <w:t>Proposal writing workshop delivered in Mauke; Project Steering Committee meeting held; support provided to the Mangaia Careers Expo and five local NGOs.</w:t>
      </w:r>
    </w:p>
    <w:p w14:paraId="2482B8B1" w14:textId="77777777" w:rsidR="000C16F0" w:rsidRDefault="00000000">
      <w:pPr>
        <w:pStyle w:val="ListBullet"/>
        <w:spacing w:after="0"/>
      </w:pPr>
      <w:r>
        <w:t>All reports sent to CBIT-GSP for review; adaptation report and NDC tracking work advanced toward finalization.</w:t>
      </w:r>
    </w:p>
    <w:p w14:paraId="45F4264F" w14:textId="77777777" w:rsidR="000C16F0" w:rsidRDefault="00000000">
      <w:pPr>
        <w:pStyle w:val="ListBullet"/>
        <w:spacing w:after="0"/>
      </w:pPr>
      <w:r>
        <w:t>Preparation began for further outer island workshops and a climate change retreat in early 2026.</w:t>
      </w:r>
    </w:p>
    <w:sectPr w:rsidR="000C16F0"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2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496724939">
    <w:abstractNumId w:val="8"/>
  </w:num>
  <w:num w:numId="2" w16cid:durableId="1922594321">
    <w:abstractNumId w:val="6"/>
  </w:num>
  <w:num w:numId="3" w16cid:durableId="1252078848">
    <w:abstractNumId w:val="5"/>
  </w:num>
  <w:num w:numId="4" w16cid:durableId="580718600">
    <w:abstractNumId w:val="4"/>
  </w:num>
  <w:num w:numId="5" w16cid:durableId="2100827423">
    <w:abstractNumId w:val="7"/>
  </w:num>
  <w:num w:numId="6" w16cid:durableId="780343205">
    <w:abstractNumId w:val="3"/>
  </w:num>
  <w:num w:numId="7" w16cid:durableId="997004469">
    <w:abstractNumId w:val="2"/>
  </w:num>
  <w:num w:numId="8" w16cid:durableId="1756003374">
    <w:abstractNumId w:val="1"/>
  </w:num>
  <w:num w:numId="9" w16cid:durableId="18539072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C16F0"/>
    <w:rsid w:val="0015074B"/>
    <w:rsid w:val="0029639D"/>
    <w:rsid w:val="002C1A5B"/>
    <w:rsid w:val="00326F90"/>
    <w:rsid w:val="00AA1D8D"/>
    <w:rsid w:val="00B47730"/>
    <w:rsid w:val="00CB0664"/>
    <w:rsid w:val="00D47542"/>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C446644"/>
  <w14:defaultImageDpi w14:val="300"/>
  <w15:docId w15:val="{C4495B59-380A-1F47-A635-51C9A08F10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rial" w:eastAsia="Arial" w:hAnsi="Arial"/>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155F732436BD414ABE4F9007290F88BC" ma:contentTypeVersion="33" ma:contentTypeDescription="Create a new document." ma:contentTypeScope="" ma:versionID="23f63ffa27798759ab7c62b38a6a6eea">
  <xsd:schema xmlns:xsd="http://www.w3.org/2001/XMLSchema" xmlns:xs="http://www.w3.org/2001/XMLSchema" xmlns:p="http://schemas.microsoft.com/office/2006/metadata/properties" xmlns:ns2="d9cf0e28-81d2-4dc7-8b10-820d80ed680d" xmlns:ns3="e91d5986-7c29-4ed1-8a54-b8fb378ed474" targetNamespace="http://schemas.microsoft.com/office/2006/metadata/properties" ma:root="true" ma:fieldsID="d59d36cbda82e4f1c8ad758894042b54" ns2:_="" ns3:_="">
    <xsd:import namespace="d9cf0e28-81d2-4dc7-8b10-820d80ed680d"/>
    <xsd:import namespace="e91d5986-7c29-4ed1-8a54-b8fb378ed474"/>
    <xsd:element name="properties">
      <xsd:complexType>
        <xsd:sequence>
          <xsd:element name="documentManagement">
            <xsd:complexType>
              <xsd:all>
                <xsd:element ref="ns2:DocumentCategory" minOccurs="0"/>
                <xsd:element ref="ns2:DocumentType" minOccurs="0"/>
                <xsd:element ref="ns2:FileClassificationMode" minOccurs="0"/>
                <xsd:element ref="ns2:FileNameDescription" minOccurs="0"/>
                <xsd:element ref="ns2:ProjectNumber" minOccurs="0"/>
                <xsd:element ref="ns2:OperatingUnit" minOccurs="0"/>
                <xsd:element ref="ns2:Language" minOccurs="0"/>
                <xsd:element ref="ns2:FunctionalArea" minOccurs="0"/>
                <xsd:element ref="ns2:OutputNumber" minOccurs="0"/>
                <xsd:element ref="ns2:DocumentStatus" minOccurs="0"/>
                <xsd:element ref="ns2:DocCoverageStartDate" minOccurs="0"/>
                <xsd:element ref="ns2:DocCoverageEndDate" minOccurs="0"/>
                <xsd:element ref="ns2:FocusArea" minOccurs="0"/>
                <xsd:element ref="ns2:AuthorName" minOccurs="0"/>
                <xsd:element ref="ns2:OfficeCountry" minOccurs="0"/>
                <xsd:element ref="ns2:MediaServiceMetadata" minOccurs="0"/>
                <xsd:element ref="ns2:MediaServiceFastMetadata"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2:MediaServiceObjectDetectorVersions" minOccurs="0"/>
                <xsd:element ref="ns2:MediaServiceLocation" minOccurs="0"/>
                <xsd:element ref="ns2:MediaServiceSearchProperties" minOccurs="0"/>
                <xsd:element ref="ns2:EventDate" minOccurs="0"/>
                <xsd:element ref="ns2:ProjectDocumentTyp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cf0e28-81d2-4dc7-8b10-820d80ed680d" elementFormDefault="qualified">
    <xsd:import namespace="http://schemas.microsoft.com/office/2006/documentManagement/types"/>
    <xsd:import namespace="http://schemas.microsoft.com/office/infopath/2007/PartnerControls"/>
    <xsd:element name="DocumentCategory" ma:index="8" nillable="true" ma:displayName="DocumentCategory" ma:format="Dropdown" ma:indexed="true" ma:internalName="DocumentCategory">
      <xsd:simpleType>
        <xsd:restriction base="dms:Text">
          <xsd:maxLength value="255"/>
        </xsd:restriction>
      </xsd:simpleType>
    </xsd:element>
    <xsd:element name="DocumentType" ma:index="9" nillable="true" ma:displayName="DocumentType" ma:format="Dropdown" ma:indexed="true" ma:internalName="DocumentType">
      <xsd:simpleType>
        <xsd:restriction base="dms:Text">
          <xsd:maxLength value="255"/>
        </xsd:restriction>
      </xsd:simpleType>
    </xsd:element>
    <xsd:element name="FileClassificationMode" ma:index="10" nillable="true" ma:displayName="FileClassificationMode" ma:format="Dropdown" ma:indexed="true" ma:internalName="FileClassificationMode">
      <xsd:simpleType>
        <xsd:restriction base="dms:Text">
          <xsd:maxLength value="255"/>
        </xsd:restriction>
      </xsd:simpleType>
    </xsd:element>
    <xsd:element name="FileNameDescription" ma:index="11" nillable="true" ma:displayName="FileNameDescription" ma:format="Dropdown" ma:indexed="true" ma:internalName="FileNameDescription">
      <xsd:simpleType>
        <xsd:restriction base="dms:Text">
          <xsd:maxLength value="255"/>
        </xsd:restriction>
      </xsd:simpleType>
    </xsd:element>
    <xsd:element name="ProjectNumber" ma:index="12" nillable="true" ma:displayName="ProjectNumber" ma:format="Dropdown" ma:indexed="true" ma:internalName="ProjectNumber">
      <xsd:simpleType>
        <xsd:restriction base="dms:Text">
          <xsd:maxLength value="255"/>
        </xsd:restriction>
      </xsd:simpleType>
    </xsd:element>
    <xsd:element name="OperatingUnit" ma:index="13" nillable="true" ma:displayName="OperatingUnit" ma:format="Dropdown" ma:indexed="true" ma:internalName="OperatingUnit">
      <xsd:simpleType>
        <xsd:restriction base="dms:Text">
          <xsd:maxLength value="255"/>
        </xsd:restriction>
      </xsd:simpleType>
    </xsd:element>
    <xsd:element name="Language" ma:index="14" nillable="true" ma:displayName="Language" ma:format="Dropdown" ma:internalName="Language">
      <xsd:simpleType>
        <xsd:restriction base="dms:Text">
          <xsd:maxLength value="255"/>
        </xsd:restriction>
      </xsd:simpleType>
    </xsd:element>
    <xsd:element name="FunctionalArea" ma:index="15" nillable="true" ma:displayName="FunctionalArea" ma:format="Dropdown" ma:internalName="FunctionalArea">
      <xsd:simpleType>
        <xsd:restriction base="dms:Text">
          <xsd:maxLength value="255"/>
        </xsd:restriction>
      </xsd:simpleType>
    </xsd:element>
    <xsd:element name="OutputNumber" ma:index="16" nillable="true" ma:displayName="OutputNumber" ma:format="Dropdown" ma:indexed="true" ma:internalName="OutputNumber">
      <xsd:simpleType>
        <xsd:restriction base="dms:Text">
          <xsd:maxLength value="255"/>
        </xsd:restriction>
      </xsd:simpleType>
    </xsd:element>
    <xsd:element name="DocumentStatus" ma:index="17" nillable="true" ma:displayName="DocumentStatus" ma:format="Dropdown" ma:internalName="DocumentStatus">
      <xsd:simpleType>
        <xsd:restriction base="dms:Text">
          <xsd:maxLength value="255"/>
        </xsd:restriction>
      </xsd:simpleType>
    </xsd:element>
    <xsd:element name="DocCoverageStartDate" ma:index="18" nillable="true" ma:displayName="DocCoverageStartDate" ma:default="[today]" ma:format="DateOnly" ma:indexed="true" ma:internalName="DocCoverageStartDate">
      <xsd:simpleType>
        <xsd:restriction base="dms:DateTime"/>
      </xsd:simpleType>
    </xsd:element>
    <xsd:element name="DocCoverageEndDate" ma:index="19" nillable="true" ma:displayName="DocCoverageEndDate" ma:format="DateOnly" ma:internalName="DocCoverageEndDate">
      <xsd:simpleType>
        <xsd:restriction base="dms:DateTime"/>
      </xsd:simpleType>
    </xsd:element>
    <xsd:element name="FocusArea" ma:index="20" nillable="true" ma:displayName="FocusArea" ma:format="Dropdown" ma:indexed="true" ma:internalName="FocusArea">
      <xsd:simpleType>
        <xsd:restriction base="dms:Text">
          <xsd:maxLength value="255"/>
        </xsd:restriction>
      </xsd:simpleType>
    </xsd:element>
    <xsd:element name="AuthorName" ma:index="21" nillable="true" ma:displayName="AuthorName" ma:format="Dropdown" ma:indexed="true" ma:internalName="AuthorName">
      <xsd:simpleType>
        <xsd:restriction base="dms:Text">
          <xsd:maxLength value="255"/>
        </xsd:restriction>
      </xsd:simpleType>
    </xsd:element>
    <xsd:element name="OfficeCountry" ma:index="22" nillable="true" ma:displayName="OfficeCountry" ma:format="Dropdown" ma:indexed="true" ma:internalName="OfficeCountry">
      <xsd:simpleType>
        <xsd:restriction base="dms:Text">
          <xsd:maxLength value="255"/>
        </xsd:restriction>
      </xsd:simpleType>
    </xsd:element>
    <xsd:element name="MediaServiceMetadata" ma:index="23" nillable="true" ma:displayName="MediaServiceMetadata" ma:hidden="true" ma:internalName="MediaServiceMetadata" ma:readOnly="true">
      <xsd:simpleType>
        <xsd:restriction base="dms:Note"/>
      </xsd:simpleType>
    </xsd:element>
    <xsd:element name="MediaServiceFastMetadata" ma:index="24" nillable="true" ma:displayName="MediaServiceFastMetadata" ma:hidden="true" ma:internalName="MediaServiceFastMetadata"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GenerationTime" ma:index="29" nillable="true" ma:displayName="MediaServiceGenerationTime" ma:hidden="true" ma:internalName="MediaServiceGenerationTime" ma:readOnly="true">
      <xsd:simpleType>
        <xsd:restriction base="dms:Text"/>
      </xsd:simpleType>
    </xsd:element>
    <xsd:element name="MediaServiceEventHashCode" ma:index="30" nillable="true" ma:displayName="MediaServiceEventHashCode" ma:hidden="true" ma:internalName="MediaServiceEventHashCode" ma:readOnly="true">
      <xsd:simpleType>
        <xsd:restriction base="dms:Text"/>
      </xsd:simpleType>
    </xsd:element>
    <xsd:element name="MediaServiceOCR" ma:index="31" nillable="true" ma:displayName="Extracted Text" ma:internalName="MediaServiceOCR" ma:readOnly="true">
      <xsd:simpleType>
        <xsd:restriction base="dms:Note">
          <xsd:maxLength value="255"/>
        </xsd:restriction>
      </xsd:simpleType>
    </xsd:element>
    <xsd:element name="MediaServiceDateTaken" ma:index="32" nillable="true" ma:displayName="MediaServiceDateTaken" ma:hidden="true" ma:indexed="true" ma:internalName="MediaServiceDateTaken" ma:readOnly="true">
      <xsd:simpleType>
        <xsd:restriction base="dms:Text"/>
      </xsd:simpleType>
    </xsd:element>
    <xsd:element name="MediaServiceObjectDetectorVersions" ma:index="33" nillable="true" ma:displayName="MediaServiceObjectDetectorVersions" ma:hidden="true" ma:indexed="true" ma:internalName="MediaServiceObjectDetectorVersions" ma:readOnly="true">
      <xsd:simpleType>
        <xsd:restriction base="dms:Text"/>
      </xsd:simpleType>
    </xsd:element>
    <xsd:element name="MediaServiceLocation" ma:index="34" nillable="true" ma:displayName="Location" ma:indexed="true" ma:internalName="MediaServiceLocation" ma:readOnly="true">
      <xsd:simpleType>
        <xsd:restriction base="dms:Text"/>
      </xsd:simpleType>
    </xsd:element>
    <xsd:element name="MediaServiceSearchProperties" ma:index="35" nillable="true" ma:displayName="MediaServiceSearchProperties" ma:hidden="true" ma:internalName="MediaServiceSearchProperties" ma:readOnly="true">
      <xsd:simpleType>
        <xsd:restriction base="dms:Note"/>
      </xsd:simpleType>
    </xsd:element>
    <xsd:element name="EventDate" ma:index="36" nillable="true" ma:displayName="EventDate" ma:format="DateOnly" ma:internalName="EventDate">
      <xsd:simpleType>
        <xsd:restriction base="dms:DateTime"/>
      </xsd:simpleType>
    </xsd:element>
    <xsd:element name="ProjectDocumentTypes" ma:index="37" nillable="true" ma:displayName="ProjectDocumentTypes" ma:format="Dropdown" ma:internalName="ProjectDocumentTypes">
      <xsd:simpleType>
        <xsd:restriction base="dms:Choice">
          <xsd:enumeration value="Project Board Meeting Minutes"/>
          <xsd:enumeration value="Monitoring/Field visit report"/>
          <xsd:enumeration value="Sustainability Plan"/>
          <xsd:enumeration value="Combined Delivery reports (CDR)"/>
        </xsd:restriction>
      </xsd:simpleType>
    </xsd:element>
    <xsd:element name="MediaServiceBillingMetadata" ma:index="3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91d5986-7c29-4ed1-8a54-b8fb378ed474" elementFormDefault="qualified">
    <xsd:import namespace="http://schemas.microsoft.com/office/2006/documentManagement/types"/>
    <xsd:import namespace="http://schemas.microsoft.com/office/infopath/2007/PartnerControls"/>
    <xsd:element name="TaxCatchAll" ma:index="28" nillable="true" ma:displayName="Taxonomy Catch All Column" ma:hidden="true" ma:list="{89ecd518-8760-4857-902e-5583cb61199f}" ma:internalName="TaxCatchAll" ma:showField="CatchAllData" ma:web="e91d5986-7c29-4ed1-8a54-b8fb378ed47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OfficeCountry xmlns="d9cf0e28-81d2-4dc7-8b10-820d80ed680d">B0397 - Cooks Islands - Cty Pgmm</OfficeCountry>
    <DocumentStatus xmlns="d9cf0e28-81d2-4dc7-8b10-820d80ed680d">Draft</DocumentStatus>
    <DocCoverageEndDate xmlns="d9cf0e28-81d2-4dc7-8b10-820d80ed680d">2025-12-31T05:00:00+00:00</DocCoverageEndDate>
    <TaxCatchAll xmlns="e91d5986-7c29-4ed1-8a54-b8fb378ed474" xsi:nil="true"/>
    <EventDate xmlns="d9cf0e28-81d2-4dc7-8b10-820d80ed680d" xsi:nil="true"/>
    <ProjectDocumentTypes xmlns="d9cf0e28-81d2-4dc7-8b10-820d80ed680d" xsi:nil="true"/>
    <FunctionalArea xmlns="d9cf0e28-81d2-4dc7-8b10-820d80ed680d">Programme and Project</FunctionalArea>
    <FileNameDescription xmlns="d9cf0e28-81d2-4dc7-8b10-820d80ed680d">2025 Progress_Report_BTR1_NC4_Cook Islands</FileNameDescription>
    <ProjectNumber xmlns="d9cf0e28-81d2-4dc7-8b10-820d80ed680d">00137958</ProjectNumber>
    <DocumentType xmlns="d9cf0e28-81d2-4dc7-8b10-820d80ed680d">Progress Report</DocumentType>
    <Language xmlns="d9cf0e28-81d2-4dc7-8b10-820d80ed680d">English</Language>
    <AuthorName xmlns="d9cf0e28-81d2-4dc7-8b10-820d80ed680d">UNDP</AuthorName>
    <DocumentCategory xmlns="d9cf0e28-81d2-4dc7-8b10-820d80ed680d">Project</DocumentCategory>
    <OperatingUnit xmlns="d9cf0e28-81d2-4dc7-8b10-820d80ed680d">UNDP-WSM</OperatingUnit>
    <lcf76f155ced4ddcb4097134ff3c332f xmlns="d9cf0e28-81d2-4dc7-8b10-820d80ed680d">
      <Terms xmlns="http://schemas.microsoft.com/office/infopath/2007/PartnerControls"/>
    </lcf76f155ced4ddcb4097134ff3c332f>
    <FocusArea xmlns="d9cf0e28-81d2-4dc7-8b10-820d80ed680d">Environment and Energy</FocusArea>
    <DocCoverageStartDate xmlns="d9cf0e28-81d2-4dc7-8b10-820d80ed680d">2025-01-01T05:00:00+00:00</DocCoverageStartDate>
    <FileClassificationMode xmlns="d9cf0e28-81d2-4dc7-8b10-820d80ed680d">Public</FileClassificationMode>
    <OutputNumber xmlns="d9cf0e28-81d2-4dc7-8b10-820d80ed680d">00128162</OutputNumber>
  </documentManagement>
</p:properties>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2.xml><?xml version="1.0" encoding="utf-8"?>
<ds:datastoreItem xmlns:ds="http://schemas.openxmlformats.org/officeDocument/2006/customXml" ds:itemID="{A3272938-FC9B-4A3D-9FE8-34CD364FDD3B}"/>
</file>

<file path=customXml/itemProps3.xml><?xml version="1.0" encoding="utf-8"?>
<ds:datastoreItem xmlns:ds="http://schemas.openxmlformats.org/officeDocument/2006/customXml" ds:itemID="{DB3BEB84-8A6B-4716-89FA-6D358A5F93F0}"/>
</file>

<file path=customXml/itemProps4.xml><?xml version="1.0" encoding="utf-8"?>
<ds:datastoreItem xmlns:ds="http://schemas.openxmlformats.org/officeDocument/2006/customXml" ds:itemID="{92EF447E-8D75-4704-859E-C82F63570CE6}"/>
</file>

<file path=docProps/app.xml><?xml version="1.0" encoding="utf-8"?>
<Properties xmlns="http://schemas.openxmlformats.org/officeDocument/2006/extended-properties" xmlns:vt="http://schemas.openxmlformats.org/officeDocument/2006/docPropsVTypes">
  <Template>Normal.dotm</Template>
  <TotalTime>2</TotalTime>
  <Pages>6</Pages>
  <Words>2182</Words>
  <Characters>12443</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14596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2025 Progress_Report_BTR1_NC4_Cook Islands</dc:title>
  <dc:subject/>
  <dc:creator>Anne Trevor</dc:creator>
  <cp:keywords/>
  <dc:description>generated by python-docx</dc:description>
  <cp:lastModifiedBy>Anne Trevor</cp:lastModifiedBy>
  <cp:revision>2</cp:revision>
  <dcterms:created xsi:type="dcterms:W3CDTF">2026-06-11T03:23:00Z</dcterms:created>
  <dcterms:modified xsi:type="dcterms:W3CDTF">2026-06-11T03:23:00Z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0x010100155F732436BD414ABE4F9007290F88BC</vt:lpwstr>
  </property>
</Properties>
</file>